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372" w:rsidRPr="007D528F" w:rsidRDefault="004B04A1" w:rsidP="003769B9">
      <w:pPr>
        <w:spacing w:line="480" w:lineRule="auto"/>
        <w:jc w:val="both"/>
        <w:rPr>
          <w:rFonts w:cs="Times New Roman"/>
          <w:b/>
          <w:szCs w:val="24"/>
        </w:rPr>
      </w:pPr>
      <w:r w:rsidRPr="007D528F">
        <w:rPr>
          <w:b/>
        </w:rPr>
        <w:t>Supplementary Appendix</w:t>
      </w:r>
    </w:p>
    <w:p w:rsidR="00574372" w:rsidRPr="003769B9" w:rsidRDefault="004B04A1" w:rsidP="003769B9">
      <w:pPr>
        <w:spacing w:line="480" w:lineRule="auto"/>
        <w:jc w:val="both"/>
        <w:rPr>
          <w:rFonts w:cs="Times New Roman"/>
          <w:szCs w:val="24"/>
        </w:rPr>
      </w:pPr>
      <w:r>
        <w:t>This supplementary appendix accompanies ‘Behavioral Message Design in Advertising: Insights from Cannes Lions’ and reports the case corpus, selection logic, and coding examples used in the study. In line with the article’s sender-side focus, the appendix organizes cases by the audience barrier addressed, the intervention used, and the expected response path.</w:t>
      </w:r>
    </w:p>
    <w:p w:rsidR="00574372" w:rsidRPr="003769B9" w:rsidRDefault="004B04A1" w:rsidP="003769B9">
      <w:pPr>
        <w:spacing w:line="480" w:lineRule="auto"/>
        <w:jc w:val="both"/>
        <w:rPr>
          <w:rFonts w:cs="Times New Roman"/>
          <w:szCs w:val="24"/>
        </w:rPr>
      </w:pPr>
      <w:r>
        <w:t>Table S1 lists the full 25-case corpus (2021–2025) and indicates which cases were analyzed in depth in the main text and which were used as supporting cases. Table S2 reports the criteria used to retain 10 main-text cases. Table S3 shows examples of how cues were coded into the five BDFA mechanisms. Table S4 summarizes the remaining 15 supporting cases. All 25 cases were coded across the corpus; the 10 main-text cases received deeper within-case analysis.</w:t>
      </w:r>
    </w:p>
    <w:p w:rsidR="00574372" w:rsidRDefault="004B04A1" w:rsidP="003769B9">
      <w:pPr>
        <w:spacing w:line="480" w:lineRule="auto"/>
        <w:jc w:val="both"/>
        <w:rPr>
          <w:rFonts w:cs="Times New Roman"/>
          <w:szCs w:val="24"/>
        </w:rPr>
      </w:pPr>
      <w:r>
        <w:t>Interpretive note. Cannes case films and award materials are strategic representations, not neutral records. Reported outcomes are therefore treated cautiously unless independently substantiated. Several campaigns speak to more than one BDFA mechanism; the tables record the primary analytic role of each case for clarity.</w:t>
      </w:r>
    </w:p>
    <w:p w:rsidR="003769B9" w:rsidRDefault="003769B9" w:rsidP="003769B9">
      <w:pPr>
        <w:spacing w:line="480" w:lineRule="auto"/>
        <w:jc w:val="both"/>
        <w:rPr>
          <w:rFonts w:cs="Times New Roman"/>
          <w:szCs w:val="24"/>
        </w:rPr>
      </w:pPr>
    </w:p>
    <w:p w:rsidR="003769B9" w:rsidRDefault="003769B9" w:rsidP="003769B9">
      <w:pPr>
        <w:spacing w:line="480" w:lineRule="auto"/>
        <w:jc w:val="both"/>
        <w:rPr>
          <w:rFonts w:cs="Times New Roman"/>
          <w:szCs w:val="24"/>
        </w:rPr>
      </w:pPr>
    </w:p>
    <w:p w:rsidR="003769B9" w:rsidRDefault="003769B9" w:rsidP="003769B9">
      <w:pPr>
        <w:spacing w:line="480" w:lineRule="auto"/>
        <w:jc w:val="both"/>
        <w:rPr>
          <w:rFonts w:cs="Times New Roman"/>
          <w:szCs w:val="24"/>
        </w:rPr>
      </w:pPr>
    </w:p>
    <w:p w:rsidR="003769B9" w:rsidRDefault="003769B9" w:rsidP="003769B9">
      <w:pPr>
        <w:spacing w:line="480" w:lineRule="auto"/>
        <w:jc w:val="both"/>
        <w:rPr>
          <w:rFonts w:cs="Times New Roman"/>
          <w:szCs w:val="24"/>
        </w:rPr>
      </w:pPr>
    </w:p>
    <w:p w:rsidR="003769B9" w:rsidRPr="003769B9" w:rsidRDefault="003769B9" w:rsidP="003769B9">
      <w:pPr>
        <w:spacing w:line="480" w:lineRule="auto"/>
        <w:jc w:val="both"/>
        <w:rPr>
          <w:rFonts w:cs="Times New Roman"/>
          <w:szCs w:val="24"/>
        </w:rPr>
      </w:pPr>
    </w:p>
    <w:p w:rsidR="00574372" w:rsidRPr="007D528F" w:rsidRDefault="004B04A1" w:rsidP="003769B9">
      <w:pPr>
        <w:spacing w:line="480" w:lineRule="auto"/>
        <w:jc w:val="both"/>
        <w:rPr>
          <w:rFonts w:cs="Times New Roman"/>
          <w:b/>
          <w:szCs w:val="24"/>
        </w:rPr>
      </w:pPr>
      <w:r w:rsidRPr="007D528F">
        <w:rPr>
          <w:b/>
        </w:rPr>
        <w:lastRenderedPageBreak/>
        <w:t>A1. Full corpus inventory</w:t>
      </w:r>
    </w:p>
    <w:p w:rsidR="00574372" w:rsidRPr="003769B9" w:rsidRDefault="004B04A1" w:rsidP="003769B9">
      <w:pPr>
        <w:spacing w:line="480" w:lineRule="auto"/>
        <w:jc w:val="both"/>
        <w:rPr>
          <w:rFonts w:cs="Times New Roman"/>
          <w:szCs w:val="24"/>
        </w:rPr>
      </w:pPr>
      <w:r>
        <w:t>Table S1 lists the 25-case corpus used in the study. The ‘Role’ column distinguishes cases analyzed in depth in the main text from cases used as supporting cases in the appendix.</w:t>
      </w:r>
    </w:p>
    <w:tbl>
      <w:tblPr>
        <w:tblStyle w:val="TabloKlavuzu"/>
        <w:tblW w:w="0" w:type="auto"/>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686"/>
        <w:gridCol w:w="2354"/>
        <w:gridCol w:w="1107"/>
        <w:gridCol w:w="1773"/>
        <w:gridCol w:w="2936"/>
      </w:tblGrid>
      <w:tr w:rsidR="00574372" w:rsidRPr="007D528F" w:rsidTr="007D528F">
        <w:tc>
          <w:tcPr>
            <w:tcW w:w="686" w:type="dxa"/>
            <w:vAlign w:val="center"/>
          </w:tcPr>
          <w:p w:rsidR="00574372" w:rsidRPr="007D528F" w:rsidRDefault="004B04A1" w:rsidP="007D528F">
            <w:pPr>
              <w:spacing w:before="240"/>
              <w:rPr>
                <w:rFonts w:cs="Times New Roman"/>
                <w:b/>
                <w:sz w:val="20"/>
                <w:szCs w:val="20"/>
              </w:rPr>
            </w:pPr>
            <w:r w:rsidRPr="007D528F">
              <w:rPr>
                <w:rFonts w:cs="Times New Roman"/>
                <w:b/>
                <w:sz w:val="20"/>
                <w:szCs w:val="20"/>
              </w:rPr>
              <w:t>Year</w:t>
            </w:r>
          </w:p>
        </w:tc>
        <w:tc>
          <w:tcPr>
            <w:tcW w:w="2354" w:type="dxa"/>
            <w:vAlign w:val="center"/>
          </w:tcPr>
          <w:p w:rsidR="00574372" w:rsidRPr="007D528F" w:rsidRDefault="004B04A1" w:rsidP="007D528F">
            <w:pPr>
              <w:spacing w:before="240"/>
              <w:rPr>
                <w:rFonts w:cs="Times New Roman"/>
                <w:b/>
                <w:sz w:val="20"/>
                <w:szCs w:val="20"/>
              </w:rPr>
            </w:pPr>
            <w:r w:rsidRPr="007D528F">
              <w:rPr>
                <w:rFonts w:cs="Times New Roman"/>
                <w:b/>
                <w:sz w:val="20"/>
                <w:szCs w:val="20"/>
              </w:rPr>
              <w:t>Case (brand - campaign)</w:t>
            </w:r>
          </w:p>
        </w:tc>
        <w:tc>
          <w:tcPr>
            <w:tcW w:w="1107" w:type="dxa"/>
            <w:vAlign w:val="center"/>
          </w:tcPr>
          <w:p w:rsidR="00574372" w:rsidRPr="007D528F" w:rsidRDefault="004B04A1" w:rsidP="007D528F">
            <w:pPr>
              <w:spacing w:before="240"/>
              <w:rPr>
                <w:rFonts w:cs="Times New Roman"/>
                <w:b/>
                <w:sz w:val="20"/>
                <w:szCs w:val="20"/>
              </w:rPr>
            </w:pPr>
            <w:r w:rsidRPr="007D528F">
              <w:rPr>
                <w:rFonts w:cs="Times New Roman"/>
                <w:b/>
                <w:sz w:val="20"/>
                <w:szCs w:val="20"/>
              </w:rPr>
              <w:t>Role</w:t>
            </w:r>
          </w:p>
        </w:tc>
        <w:tc>
          <w:tcPr>
            <w:tcW w:w="1773" w:type="dxa"/>
            <w:vAlign w:val="center"/>
          </w:tcPr>
          <w:p w:rsidR="00574372" w:rsidRPr="007D528F" w:rsidRDefault="004B04A1" w:rsidP="007D528F">
            <w:pPr>
              <w:spacing w:before="240"/>
              <w:rPr>
                <w:rFonts w:cs="Times New Roman"/>
                <w:b/>
                <w:sz w:val="20"/>
                <w:szCs w:val="20"/>
              </w:rPr>
            </w:pPr>
            <w:r w:rsidRPr="007D528F">
              <w:rPr>
                <w:rFonts w:cs="Times New Roman"/>
                <w:b/>
                <w:sz w:val="20"/>
                <w:szCs w:val="20"/>
              </w:rPr>
              <w:t>Primary BDFA mechanism</w:t>
            </w:r>
          </w:p>
        </w:tc>
        <w:tc>
          <w:tcPr>
            <w:tcW w:w="2936" w:type="dxa"/>
            <w:vAlign w:val="center"/>
          </w:tcPr>
          <w:p w:rsidR="00574372" w:rsidRPr="007D528F" w:rsidRDefault="004B04A1" w:rsidP="007D528F">
            <w:pPr>
              <w:spacing w:before="240"/>
              <w:rPr>
                <w:rFonts w:cs="Times New Roman"/>
                <w:b/>
                <w:sz w:val="20"/>
                <w:szCs w:val="20"/>
              </w:rPr>
            </w:pPr>
            <w:r w:rsidRPr="007D528F">
              <w:rPr>
                <w:rFonts w:cs="Times New Roman"/>
                <w:b/>
                <w:sz w:val="20"/>
                <w:szCs w:val="20"/>
              </w:rPr>
              <w:t>Main analytic use</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2025</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AXA - Three Words</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Anchor</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Psychological safety</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Full-text anchor case in Theme 4</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2025</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Vaseline - Vaseline Verified</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Anchor</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Credibility signaling</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Full-text anchor case in Theme 3</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2025</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AMPAS/CHS - Caption with Intention</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Anchor</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Inclusive accessibility</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Full-text anchor case in Theme 5</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2025</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Indian Railways - Lucky Yatra</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Supporting</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Motivational reframing</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Replication case for reward-based reframing</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2025</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Dove - Real Beauty Redefined for the AI Era</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Supporting</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Credibility signaling</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Replication case for AI-era verification/transparency</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2024</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KPN - A Piece of Me</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Anchor</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Motivational reframing</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Full-text anchor case in Theme 2</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2024</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Cemento Sol - Sightwalks</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Anchor</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Inclusive accessibility</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Full-text anchor case in Theme 5</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2024</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Mastercard - Room for Everyone</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Supporting</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Uncertainty reduction</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Replication case for guidance and access</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2024</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Renault - Cars to Work</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Supporting</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Uncertainty reduction</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Replication case for mobility-friction reduction</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2024</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Xbox - The Everyday Tactician</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Supporting</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Motivational reframing</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Replication case for participation/engagement cues</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2023</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Dove - #TurnYourBack</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Supporting</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Credibility signaling</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Replication case for corrective social norms</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2023</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Samsung - Flipvertising</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Supporting</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Motivational reframing</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Replication case for playful voluntary attention</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2023</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adidas - Runner 321</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Supporting</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Inclusive accessibility</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Replication case for participation redesign</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lastRenderedPageBreak/>
              <w:t>2023</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Mastercard - Where to Settle</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Anchor</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Uncertainty reduction</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Full-text anchor case in Theme 1</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2023</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Korean National Police Agency - Knock Knock</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Anchor</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Psychological safety</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Full-text anchor case in Theme 4</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2022</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WeCapital - Data Tienda</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Anchor</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Uncertainty reduction / credibility signaling</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Full-text anchor bridge case in Themes 1 and 3</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2022</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Decathlon - The Breakaway</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Supporting</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Psychological safety</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Replication case for stigma-reducing participation</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2022</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VICE Media - The Unfiltered History Tour</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Supporting</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Credibility signaling</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Replication case for reframing contested history</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2022</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Suncorp - One House to Save Many</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Supporting</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Uncertainty reduction</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Replication case for risk legibility</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2022</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Sheba - Hope Reef</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Supporting</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Motivational reframing</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Replication case for hopeful environmental participation</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2021</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Warner Music Group - Saylists</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Anchor</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Motivational reframing</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Full-text anchor case in Theme 2</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2021</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City of Chicago - Boards of Change</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Supporting</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Motivational reframing</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Replication case for civic participation reframing</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2021</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Michelob ULTRA Pure Gold - Contract for Change</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Supporting</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Uncertainty reduction</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Replication case for transition-risk reduction</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2021</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Carrefour - Act for Food</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Supporting</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Uncertainty reduction</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Replication case for clearer food-transition choices</w:t>
            </w:r>
          </w:p>
        </w:tc>
      </w:tr>
      <w:tr w:rsidR="00574372" w:rsidRPr="007D528F" w:rsidTr="007D528F">
        <w:tc>
          <w:tcPr>
            <w:tcW w:w="68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2021</w:t>
            </w:r>
          </w:p>
        </w:tc>
        <w:tc>
          <w:tcPr>
            <w:tcW w:w="2354"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Mastercard - True Name</w:t>
            </w:r>
          </w:p>
        </w:tc>
        <w:tc>
          <w:tcPr>
            <w:tcW w:w="1107"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Anchor</w:t>
            </w:r>
          </w:p>
        </w:tc>
        <w:tc>
          <w:tcPr>
            <w:tcW w:w="1773"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Psychological safety</w:t>
            </w:r>
          </w:p>
        </w:tc>
        <w:tc>
          <w:tcPr>
            <w:tcW w:w="2936" w:type="dxa"/>
            <w:vAlign w:val="center"/>
          </w:tcPr>
          <w:p w:rsidR="00574372" w:rsidRPr="007D528F" w:rsidRDefault="004B04A1" w:rsidP="007D528F">
            <w:pPr>
              <w:spacing w:before="240"/>
              <w:rPr>
                <w:rFonts w:cs="Times New Roman"/>
                <w:sz w:val="20"/>
                <w:szCs w:val="20"/>
              </w:rPr>
            </w:pPr>
            <w:r w:rsidRPr="007D528F">
              <w:rPr>
                <w:rFonts w:cs="Times New Roman"/>
                <w:sz w:val="20"/>
                <w:szCs w:val="20"/>
              </w:rPr>
              <w:t>Full-text anchor case in Theme 4</w:t>
            </w:r>
          </w:p>
        </w:tc>
      </w:tr>
    </w:tbl>
    <w:p w:rsidR="003769B9" w:rsidRDefault="003769B9" w:rsidP="003769B9">
      <w:pPr>
        <w:spacing w:line="240" w:lineRule="auto"/>
        <w:jc w:val="both"/>
        <w:rPr>
          <w:rFonts w:cs="Times New Roman"/>
          <w:szCs w:val="24"/>
        </w:rPr>
      </w:pPr>
    </w:p>
    <w:p w:rsidR="003769B9" w:rsidRDefault="003769B9" w:rsidP="003769B9">
      <w:pPr>
        <w:spacing w:line="240" w:lineRule="auto"/>
        <w:jc w:val="both"/>
        <w:rPr>
          <w:rFonts w:cs="Times New Roman"/>
          <w:szCs w:val="24"/>
        </w:rPr>
      </w:pPr>
    </w:p>
    <w:p w:rsidR="007C14ED" w:rsidRDefault="007C14ED" w:rsidP="003769B9">
      <w:pPr>
        <w:spacing w:line="240" w:lineRule="auto"/>
        <w:jc w:val="both"/>
        <w:rPr>
          <w:rFonts w:cs="Times New Roman"/>
          <w:szCs w:val="24"/>
        </w:rPr>
      </w:pPr>
    </w:p>
    <w:p w:rsidR="007D528F" w:rsidRDefault="007D528F" w:rsidP="003769B9">
      <w:pPr>
        <w:spacing w:line="240" w:lineRule="auto"/>
        <w:jc w:val="both"/>
        <w:rPr>
          <w:rFonts w:cs="Times New Roman"/>
          <w:szCs w:val="24"/>
        </w:rPr>
      </w:pPr>
    </w:p>
    <w:p w:rsidR="007D528F" w:rsidRDefault="007D528F" w:rsidP="003769B9">
      <w:pPr>
        <w:spacing w:line="240" w:lineRule="auto"/>
        <w:jc w:val="both"/>
        <w:rPr>
          <w:rFonts w:cs="Times New Roman"/>
          <w:szCs w:val="24"/>
        </w:rPr>
      </w:pPr>
    </w:p>
    <w:p w:rsidR="007D528F" w:rsidRDefault="007D528F" w:rsidP="003769B9">
      <w:pPr>
        <w:spacing w:line="240" w:lineRule="auto"/>
        <w:jc w:val="both"/>
        <w:rPr>
          <w:rFonts w:cs="Times New Roman"/>
          <w:szCs w:val="24"/>
        </w:rPr>
      </w:pPr>
    </w:p>
    <w:p w:rsidR="007D528F" w:rsidRDefault="007D528F" w:rsidP="003769B9">
      <w:pPr>
        <w:spacing w:line="240" w:lineRule="auto"/>
        <w:jc w:val="both"/>
        <w:rPr>
          <w:rFonts w:cs="Times New Roman"/>
          <w:szCs w:val="24"/>
        </w:rPr>
      </w:pPr>
    </w:p>
    <w:p w:rsidR="007D528F" w:rsidRDefault="007D528F" w:rsidP="003769B9">
      <w:pPr>
        <w:spacing w:line="240" w:lineRule="auto"/>
        <w:jc w:val="both"/>
        <w:rPr>
          <w:rFonts w:cs="Times New Roman"/>
          <w:szCs w:val="24"/>
        </w:rPr>
      </w:pPr>
    </w:p>
    <w:p w:rsidR="00574372" w:rsidRPr="007D528F" w:rsidRDefault="004B04A1" w:rsidP="003769B9">
      <w:pPr>
        <w:spacing w:line="480" w:lineRule="auto"/>
        <w:jc w:val="both"/>
        <w:rPr>
          <w:rFonts w:cs="Times New Roman"/>
          <w:b/>
          <w:szCs w:val="24"/>
        </w:rPr>
      </w:pPr>
      <w:bookmarkStart w:id="0" w:name="_GoBack"/>
      <w:bookmarkEnd w:id="0"/>
      <w:r w:rsidRPr="007D528F">
        <w:rPr>
          <w:b/>
        </w:rPr>
        <w:lastRenderedPageBreak/>
        <w:t>A2. Anchor-case decision rules</w:t>
      </w:r>
    </w:p>
    <w:p w:rsidR="00574372" w:rsidRPr="003769B9" w:rsidRDefault="004B04A1" w:rsidP="003769B9">
      <w:pPr>
        <w:spacing w:line="480" w:lineRule="auto"/>
        <w:jc w:val="both"/>
        <w:rPr>
          <w:rFonts w:cs="Times New Roman"/>
          <w:szCs w:val="24"/>
        </w:rPr>
      </w:pPr>
      <w:r>
        <w:t>Table S2 shows the criteria used to distinguish main-text cases from supporting cases.</w:t>
      </w:r>
    </w:p>
    <w:tbl>
      <w:tblPr>
        <w:tblStyle w:val="TabloKlavuzu"/>
        <w:tblW w:w="8748" w:type="dxa"/>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988"/>
        <w:gridCol w:w="3183"/>
        <w:gridCol w:w="3577"/>
      </w:tblGrid>
      <w:tr w:rsidR="00574372" w:rsidRPr="003769B9" w:rsidTr="007D528F">
        <w:tc>
          <w:tcPr>
            <w:tcW w:w="1988" w:type="dxa"/>
          </w:tcPr>
          <w:p w:rsidR="00574372" w:rsidRPr="003769B9" w:rsidRDefault="004B04A1" w:rsidP="007C14ED">
            <w:pPr>
              <w:spacing w:before="240" w:line="360" w:lineRule="auto"/>
              <w:rPr>
                <w:rFonts w:cs="Times New Roman"/>
                <w:b/>
                <w:sz w:val="20"/>
                <w:szCs w:val="20"/>
              </w:rPr>
            </w:pPr>
            <w:r w:rsidRPr="003769B9">
              <w:rPr>
                <w:rFonts w:cs="Times New Roman"/>
                <w:b/>
                <w:sz w:val="20"/>
                <w:szCs w:val="20"/>
              </w:rPr>
              <w:t>Decision rule</w:t>
            </w:r>
          </w:p>
        </w:tc>
        <w:tc>
          <w:tcPr>
            <w:tcW w:w="3183" w:type="dxa"/>
          </w:tcPr>
          <w:p w:rsidR="00574372" w:rsidRPr="003769B9" w:rsidRDefault="004B04A1" w:rsidP="007C14ED">
            <w:pPr>
              <w:spacing w:before="240" w:line="360" w:lineRule="auto"/>
              <w:rPr>
                <w:rFonts w:cs="Times New Roman"/>
                <w:b/>
                <w:sz w:val="20"/>
                <w:szCs w:val="20"/>
              </w:rPr>
            </w:pPr>
            <w:r w:rsidRPr="003769B9">
              <w:rPr>
                <w:rFonts w:cs="Times New Roman"/>
                <w:b/>
                <w:sz w:val="20"/>
                <w:szCs w:val="20"/>
              </w:rPr>
              <w:t>Anchor-case threshold</w:t>
            </w:r>
          </w:p>
        </w:tc>
        <w:tc>
          <w:tcPr>
            <w:tcW w:w="3577" w:type="dxa"/>
          </w:tcPr>
          <w:p w:rsidR="00574372" w:rsidRPr="003769B9" w:rsidRDefault="004B04A1" w:rsidP="007C14ED">
            <w:pPr>
              <w:spacing w:before="240" w:line="360" w:lineRule="auto"/>
              <w:rPr>
                <w:rFonts w:cs="Times New Roman"/>
                <w:b/>
                <w:sz w:val="20"/>
                <w:szCs w:val="20"/>
              </w:rPr>
            </w:pPr>
            <w:r w:rsidRPr="003769B9">
              <w:rPr>
                <w:rFonts w:cs="Times New Roman"/>
                <w:b/>
                <w:sz w:val="20"/>
                <w:szCs w:val="20"/>
              </w:rPr>
              <w:t>Implication for reporting</w:t>
            </w:r>
          </w:p>
        </w:tc>
      </w:tr>
      <w:tr w:rsidR="00574372" w:rsidRPr="003769B9" w:rsidTr="007D528F">
        <w:tc>
          <w:tcPr>
            <w:tcW w:w="1988" w:type="dxa"/>
          </w:tcPr>
          <w:p w:rsidR="00574372" w:rsidRPr="003769B9" w:rsidRDefault="004B04A1" w:rsidP="007C14ED">
            <w:pPr>
              <w:spacing w:before="240" w:line="360" w:lineRule="auto"/>
              <w:rPr>
                <w:rFonts w:cs="Times New Roman"/>
                <w:b/>
                <w:sz w:val="20"/>
                <w:szCs w:val="20"/>
              </w:rPr>
            </w:pPr>
            <w:r w:rsidRPr="003769B9">
              <w:rPr>
                <w:rFonts w:cs="Times New Roman"/>
                <w:b/>
                <w:sz w:val="20"/>
                <w:szCs w:val="20"/>
              </w:rPr>
              <w:t>Mechanism fit</w:t>
            </w:r>
          </w:p>
        </w:tc>
        <w:tc>
          <w:tcPr>
            <w:tcW w:w="3183" w:type="dxa"/>
          </w:tcPr>
          <w:p w:rsidR="00574372" w:rsidRPr="003769B9" w:rsidRDefault="004B04A1" w:rsidP="007C14ED">
            <w:pPr>
              <w:spacing w:before="240" w:line="360" w:lineRule="auto"/>
              <w:rPr>
                <w:rFonts w:cs="Times New Roman"/>
                <w:sz w:val="20"/>
                <w:szCs w:val="20"/>
              </w:rPr>
            </w:pPr>
            <w:r w:rsidRPr="003769B9">
              <w:rPr>
                <w:rFonts w:cs="Times New Roman"/>
                <w:sz w:val="20"/>
                <w:szCs w:val="20"/>
              </w:rPr>
              <w:t>Case offers an especially clear illustration of one or more focal BDFA mechanisms</w:t>
            </w:r>
          </w:p>
        </w:tc>
        <w:tc>
          <w:tcPr>
            <w:tcW w:w="3577" w:type="dxa"/>
          </w:tcPr>
          <w:p w:rsidR="00574372" w:rsidRPr="003769B9" w:rsidRDefault="004B04A1" w:rsidP="007C14ED">
            <w:pPr>
              <w:spacing w:before="240" w:line="360" w:lineRule="auto"/>
              <w:rPr>
                <w:rFonts w:cs="Times New Roman"/>
                <w:sz w:val="20"/>
                <w:szCs w:val="20"/>
              </w:rPr>
            </w:pPr>
            <w:r w:rsidRPr="003769B9">
              <w:rPr>
                <w:rFonts w:cs="Times New Roman"/>
                <w:sz w:val="20"/>
                <w:szCs w:val="20"/>
              </w:rPr>
              <w:t>Retained for full-text interpretation and compact S-O-R summary</w:t>
            </w:r>
          </w:p>
        </w:tc>
      </w:tr>
      <w:tr w:rsidR="00574372" w:rsidRPr="003769B9" w:rsidTr="007D528F">
        <w:tc>
          <w:tcPr>
            <w:tcW w:w="1988" w:type="dxa"/>
          </w:tcPr>
          <w:p w:rsidR="00574372" w:rsidRPr="003769B9" w:rsidRDefault="004B04A1" w:rsidP="007C14ED">
            <w:pPr>
              <w:spacing w:before="240" w:line="360" w:lineRule="auto"/>
              <w:rPr>
                <w:rFonts w:cs="Times New Roman"/>
                <w:b/>
                <w:sz w:val="20"/>
                <w:szCs w:val="20"/>
              </w:rPr>
            </w:pPr>
            <w:r w:rsidRPr="003769B9">
              <w:rPr>
                <w:rFonts w:cs="Times New Roman"/>
                <w:b/>
                <w:sz w:val="20"/>
                <w:szCs w:val="20"/>
              </w:rPr>
              <w:t>Artifact richness</w:t>
            </w:r>
          </w:p>
        </w:tc>
        <w:tc>
          <w:tcPr>
            <w:tcW w:w="3183" w:type="dxa"/>
          </w:tcPr>
          <w:p w:rsidR="00574372" w:rsidRPr="003769B9" w:rsidRDefault="004B04A1" w:rsidP="007C14ED">
            <w:pPr>
              <w:spacing w:before="240" w:line="360" w:lineRule="auto"/>
              <w:rPr>
                <w:rFonts w:cs="Times New Roman"/>
                <w:sz w:val="20"/>
                <w:szCs w:val="20"/>
              </w:rPr>
            </w:pPr>
            <w:r w:rsidRPr="003769B9">
              <w:rPr>
                <w:rFonts w:cs="Times New Roman"/>
                <w:sz w:val="20"/>
                <w:szCs w:val="20"/>
              </w:rPr>
              <w:t>Official case page, case film, and enough supporting material exist to reconstruct intervention logic</w:t>
            </w:r>
          </w:p>
        </w:tc>
        <w:tc>
          <w:tcPr>
            <w:tcW w:w="3577" w:type="dxa"/>
          </w:tcPr>
          <w:p w:rsidR="00574372" w:rsidRPr="003769B9" w:rsidRDefault="004B04A1" w:rsidP="007C14ED">
            <w:pPr>
              <w:spacing w:before="240" w:line="360" w:lineRule="auto"/>
              <w:rPr>
                <w:rFonts w:cs="Times New Roman"/>
                <w:sz w:val="20"/>
                <w:szCs w:val="20"/>
              </w:rPr>
            </w:pPr>
            <w:r w:rsidRPr="003769B9">
              <w:rPr>
                <w:rFonts w:cs="Times New Roman"/>
                <w:sz w:val="20"/>
                <w:szCs w:val="20"/>
              </w:rPr>
              <w:t>Eligible for within-case memoing in the manuscript</w:t>
            </w:r>
          </w:p>
        </w:tc>
      </w:tr>
      <w:tr w:rsidR="00574372" w:rsidRPr="003769B9" w:rsidTr="007D528F">
        <w:tc>
          <w:tcPr>
            <w:tcW w:w="1988" w:type="dxa"/>
          </w:tcPr>
          <w:p w:rsidR="00574372" w:rsidRPr="003769B9" w:rsidRDefault="004B04A1" w:rsidP="007C14ED">
            <w:pPr>
              <w:spacing w:before="240" w:line="360" w:lineRule="auto"/>
              <w:rPr>
                <w:rFonts w:cs="Times New Roman"/>
                <w:b/>
                <w:sz w:val="20"/>
                <w:szCs w:val="20"/>
              </w:rPr>
            </w:pPr>
            <w:r w:rsidRPr="003769B9">
              <w:rPr>
                <w:rFonts w:cs="Times New Roman"/>
                <w:b/>
                <w:sz w:val="20"/>
                <w:szCs w:val="20"/>
              </w:rPr>
              <w:t>Transferability</w:t>
            </w:r>
          </w:p>
        </w:tc>
        <w:tc>
          <w:tcPr>
            <w:tcW w:w="3183" w:type="dxa"/>
          </w:tcPr>
          <w:p w:rsidR="00574372" w:rsidRPr="003769B9" w:rsidRDefault="004B04A1" w:rsidP="007C14ED">
            <w:pPr>
              <w:spacing w:before="240" w:line="360" w:lineRule="auto"/>
              <w:rPr>
                <w:rFonts w:cs="Times New Roman"/>
                <w:sz w:val="20"/>
                <w:szCs w:val="20"/>
              </w:rPr>
            </w:pPr>
            <w:r w:rsidRPr="003769B9">
              <w:rPr>
                <w:rFonts w:cs="Times New Roman"/>
                <w:sz w:val="20"/>
                <w:szCs w:val="20"/>
              </w:rPr>
              <w:t>Case speaks to broader consumer/marketing problems rather than an isolated creative execution</w:t>
            </w:r>
          </w:p>
        </w:tc>
        <w:tc>
          <w:tcPr>
            <w:tcW w:w="3577" w:type="dxa"/>
          </w:tcPr>
          <w:p w:rsidR="00574372" w:rsidRPr="003769B9" w:rsidRDefault="004B04A1" w:rsidP="007C14ED">
            <w:pPr>
              <w:spacing w:before="240" w:line="360" w:lineRule="auto"/>
              <w:rPr>
                <w:rFonts w:cs="Times New Roman"/>
                <w:sz w:val="20"/>
                <w:szCs w:val="20"/>
              </w:rPr>
            </w:pPr>
            <w:r w:rsidRPr="003769B9">
              <w:rPr>
                <w:rFonts w:cs="Times New Roman"/>
                <w:sz w:val="20"/>
                <w:szCs w:val="20"/>
              </w:rPr>
              <w:t>Used to develop cross-case design propositions</w:t>
            </w:r>
          </w:p>
        </w:tc>
      </w:tr>
      <w:tr w:rsidR="00574372" w:rsidRPr="003769B9" w:rsidTr="007D528F">
        <w:tc>
          <w:tcPr>
            <w:tcW w:w="1988" w:type="dxa"/>
          </w:tcPr>
          <w:p w:rsidR="00574372" w:rsidRPr="003769B9" w:rsidRDefault="004B04A1" w:rsidP="007C14ED">
            <w:pPr>
              <w:spacing w:before="240" w:line="360" w:lineRule="auto"/>
              <w:rPr>
                <w:rFonts w:cs="Times New Roman"/>
                <w:b/>
                <w:sz w:val="20"/>
                <w:szCs w:val="20"/>
              </w:rPr>
            </w:pPr>
            <w:r w:rsidRPr="003769B9">
              <w:rPr>
                <w:rFonts w:cs="Times New Roman"/>
                <w:b/>
                <w:sz w:val="20"/>
                <w:szCs w:val="20"/>
              </w:rPr>
              <w:t>Comparative value</w:t>
            </w:r>
          </w:p>
        </w:tc>
        <w:tc>
          <w:tcPr>
            <w:tcW w:w="3183" w:type="dxa"/>
          </w:tcPr>
          <w:p w:rsidR="00574372" w:rsidRPr="003769B9" w:rsidRDefault="004B04A1" w:rsidP="007C14ED">
            <w:pPr>
              <w:spacing w:before="240" w:line="360" w:lineRule="auto"/>
              <w:rPr>
                <w:rFonts w:cs="Times New Roman"/>
                <w:sz w:val="20"/>
                <w:szCs w:val="20"/>
              </w:rPr>
            </w:pPr>
            <w:r w:rsidRPr="003769B9">
              <w:rPr>
                <w:rFonts w:cs="Times New Roman"/>
                <w:sz w:val="20"/>
                <w:szCs w:val="20"/>
              </w:rPr>
              <w:t>Case adds domain variation (safety, finance, accessibility, identity, mobility, media)</w:t>
            </w:r>
          </w:p>
        </w:tc>
        <w:tc>
          <w:tcPr>
            <w:tcW w:w="3577" w:type="dxa"/>
          </w:tcPr>
          <w:p w:rsidR="00574372" w:rsidRPr="003769B9" w:rsidRDefault="004B04A1" w:rsidP="007C14ED">
            <w:pPr>
              <w:spacing w:before="240" w:line="360" w:lineRule="auto"/>
              <w:rPr>
                <w:rFonts w:cs="Times New Roman"/>
                <w:sz w:val="20"/>
                <w:szCs w:val="20"/>
              </w:rPr>
            </w:pPr>
            <w:r w:rsidRPr="003769B9">
              <w:rPr>
                <w:rFonts w:cs="Times New Roman"/>
                <w:sz w:val="20"/>
                <w:szCs w:val="20"/>
              </w:rPr>
              <w:t>Improves the comparative strength of the anchor set</w:t>
            </w:r>
          </w:p>
        </w:tc>
      </w:tr>
      <w:tr w:rsidR="00574372" w:rsidRPr="003769B9" w:rsidTr="007D528F">
        <w:tc>
          <w:tcPr>
            <w:tcW w:w="1988" w:type="dxa"/>
          </w:tcPr>
          <w:p w:rsidR="00574372" w:rsidRPr="003769B9" w:rsidRDefault="004B04A1" w:rsidP="007C14ED">
            <w:pPr>
              <w:spacing w:before="240" w:line="360" w:lineRule="auto"/>
              <w:rPr>
                <w:rFonts w:cs="Times New Roman"/>
                <w:b/>
                <w:sz w:val="20"/>
                <w:szCs w:val="20"/>
              </w:rPr>
            </w:pPr>
            <w:r w:rsidRPr="003769B9">
              <w:rPr>
                <w:rFonts w:cs="Times New Roman"/>
                <w:b/>
                <w:sz w:val="20"/>
                <w:szCs w:val="20"/>
              </w:rPr>
              <w:t>Reporting economy</w:t>
            </w:r>
          </w:p>
        </w:tc>
        <w:tc>
          <w:tcPr>
            <w:tcW w:w="3183" w:type="dxa"/>
          </w:tcPr>
          <w:p w:rsidR="00574372" w:rsidRPr="003769B9" w:rsidRDefault="004B04A1" w:rsidP="007C14ED">
            <w:pPr>
              <w:spacing w:before="240" w:line="360" w:lineRule="auto"/>
              <w:rPr>
                <w:rFonts w:cs="Times New Roman"/>
                <w:sz w:val="20"/>
                <w:szCs w:val="20"/>
              </w:rPr>
            </w:pPr>
            <w:r w:rsidRPr="003769B9">
              <w:rPr>
                <w:rFonts w:cs="Times New Roman"/>
                <w:sz w:val="20"/>
                <w:szCs w:val="20"/>
              </w:rPr>
              <w:t>If a case replicates an already well-covered mechanism but adds less artifact depth, it remains supporting</w:t>
            </w:r>
          </w:p>
        </w:tc>
        <w:tc>
          <w:tcPr>
            <w:tcW w:w="3577" w:type="dxa"/>
          </w:tcPr>
          <w:p w:rsidR="00574372" w:rsidRPr="003769B9" w:rsidRDefault="004B04A1" w:rsidP="007C14ED">
            <w:pPr>
              <w:spacing w:before="240" w:line="360" w:lineRule="auto"/>
              <w:rPr>
                <w:rFonts w:cs="Times New Roman"/>
                <w:sz w:val="20"/>
                <w:szCs w:val="20"/>
              </w:rPr>
            </w:pPr>
            <w:r w:rsidRPr="003769B9">
              <w:rPr>
                <w:rFonts w:cs="Times New Roman"/>
                <w:sz w:val="20"/>
                <w:szCs w:val="20"/>
              </w:rPr>
              <w:t>Reported in matrix form instead of equal-length prose</w:t>
            </w:r>
          </w:p>
        </w:tc>
      </w:tr>
    </w:tbl>
    <w:p w:rsidR="003769B9" w:rsidRPr="003769B9" w:rsidRDefault="003769B9" w:rsidP="003769B9">
      <w:pPr>
        <w:spacing w:line="240" w:lineRule="auto"/>
        <w:jc w:val="both"/>
        <w:rPr>
          <w:rFonts w:cs="Times New Roman"/>
          <w:szCs w:val="24"/>
        </w:rPr>
      </w:pPr>
    </w:p>
    <w:p w:rsidR="003769B9" w:rsidRDefault="003769B9" w:rsidP="003769B9">
      <w:pPr>
        <w:spacing w:line="240" w:lineRule="auto"/>
        <w:jc w:val="both"/>
        <w:rPr>
          <w:rFonts w:cs="Times New Roman"/>
          <w:szCs w:val="24"/>
        </w:rPr>
      </w:pPr>
    </w:p>
    <w:p w:rsidR="007D528F" w:rsidRDefault="007D528F" w:rsidP="003769B9">
      <w:pPr>
        <w:spacing w:line="240" w:lineRule="auto"/>
        <w:jc w:val="both"/>
        <w:rPr>
          <w:rFonts w:cs="Times New Roman"/>
          <w:szCs w:val="24"/>
        </w:rPr>
      </w:pPr>
    </w:p>
    <w:p w:rsidR="007D528F" w:rsidRDefault="007D528F" w:rsidP="003769B9">
      <w:pPr>
        <w:spacing w:line="240" w:lineRule="auto"/>
        <w:jc w:val="both"/>
        <w:rPr>
          <w:rFonts w:cs="Times New Roman"/>
          <w:szCs w:val="24"/>
        </w:rPr>
      </w:pPr>
    </w:p>
    <w:p w:rsidR="003769B9" w:rsidRDefault="003769B9" w:rsidP="003769B9">
      <w:pPr>
        <w:spacing w:line="240" w:lineRule="auto"/>
        <w:jc w:val="both"/>
        <w:rPr>
          <w:rFonts w:cs="Times New Roman"/>
          <w:szCs w:val="24"/>
        </w:rPr>
      </w:pPr>
    </w:p>
    <w:p w:rsidR="003769B9" w:rsidRDefault="003769B9" w:rsidP="003769B9">
      <w:pPr>
        <w:spacing w:line="240" w:lineRule="auto"/>
        <w:jc w:val="both"/>
        <w:rPr>
          <w:rFonts w:cs="Times New Roman"/>
          <w:szCs w:val="24"/>
        </w:rPr>
      </w:pPr>
    </w:p>
    <w:p w:rsidR="003769B9" w:rsidRDefault="003769B9" w:rsidP="003769B9">
      <w:pPr>
        <w:spacing w:line="240" w:lineRule="auto"/>
        <w:jc w:val="both"/>
        <w:rPr>
          <w:rFonts w:cs="Times New Roman"/>
          <w:szCs w:val="24"/>
        </w:rPr>
      </w:pPr>
    </w:p>
    <w:p w:rsidR="003769B9" w:rsidRDefault="003769B9" w:rsidP="003769B9">
      <w:pPr>
        <w:spacing w:line="240" w:lineRule="auto"/>
        <w:jc w:val="both"/>
        <w:rPr>
          <w:rFonts w:cs="Times New Roman"/>
          <w:szCs w:val="24"/>
        </w:rPr>
      </w:pPr>
    </w:p>
    <w:p w:rsidR="003769B9" w:rsidRDefault="003769B9" w:rsidP="003769B9">
      <w:pPr>
        <w:spacing w:line="240" w:lineRule="auto"/>
        <w:jc w:val="both"/>
        <w:rPr>
          <w:rFonts w:cs="Times New Roman"/>
          <w:szCs w:val="24"/>
        </w:rPr>
      </w:pPr>
    </w:p>
    <w:p w:rsidR="00574372" w:rsidRPr="007D528F" w:rsidRDefault="004B04A1" w:rsidP="003769B9">
      <w:pPr>
        <w:spacing w:line="480" w:lineRule="auto"/>
        <w:jc w:val="both"/>
        <w:rPr>
          <w:rFonts w:cs="Times New Roman"/>
          <w:b/>
          <w:szCs w:val="24"/>
        </w:rPr>
      </w:pPr>
      <w:r w:rsidRPr="007D528F">
        <w:rPr>
          <w:b/>
        </w:rPr>
        <w:lastRenderedPageBreak/>
        <w:t>A3. Representative code-to-theme traces</w:t>
      </w:r>
    </w:p>
    <w:p w:rsidR="00574372" w:rsidRPr="003769B9" w:rsidRDefault="004B04A1" w:rsidP="003769B9">
      <w:pPr>
        <w:spacing w:line="480" w:lineRule="auto"/>
        <w:jc w:val="both"/>
        <w:rPr>
          <w:rFonts w:cs="Times New Roman"/>
          <w:szCs w:val="24"/>
        </w:rPr>
      </w:pPr>
      <w:r>
        <w:t>Table S3 shows how representative artifact-level cues were translated into initial codes and then into the five BDFA mechanisms.</w:t>
      </w:r>
    </w:p>
    <w:tbl>
      <w:tblPr>
        <w:tblStyle w:val="TabloKlavuzu"/>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703"/>
        <w:gridCol w:w="1274"/>
        <w:gridCol w:w="2126"/>
        <w:gridCol w:w="2020"/>
        <w:gridCol w:w="1625"/>
      </w:tblGrid>
      <w:tr w:rsidR="00574372" w:rsidRPr="003769B9" w:rsidTr="007D528F">
        <w:tc>
          <w:tcPr>
            <w:tcW w:w="1703" w:type="dxa"/>
          </w:tcPr>
          <w:p w:rsidR="00574372" w:rsidRPr="003769B9" w:rsidRDefault="004B04A1" w:rsidP="007D528F">
            <w:pPr>
              <w:spacing w:before="240"/>
              <w:rPr>
                <w:rFonts w:cs="Times New Roman"/>
                <w:b/>
                <w:sz w:val="20"/>
                <w:szCs w:val="20"/>
              </w:rPr>
            </w:pPr>
            <w:r w:rsidRPr="003769B9">
              <w:rPr>
                <w:rFonts w:cs="Times New Roman"/>
                <w:b/>
                <w:sz w:val="20"/>
                <w:szCs w:val="20"/>
              </w:rPr>
              <w:t>BDFA theme</w:t>
            </w:r>
          </w:p>
        </w:tc>
        <w:tc>
          <w:tcPr>
            <w:tcW w:w="1274" w:type="dxa"/>
          </w:tcPr>
          <w:p w:rsidR="00574372" w:rsidRPr="003769B9" w:rsidRDefault="004B04A1" w:rsidP="007D528F">
            <w:pPr>
              <w:spacing w:before="240"/>
              <w:rPr>
                <w:rFonts w:cs="Times New Roman"/>
                <w:b/>
                <w:sz w:val="20"/>
                <w:szCs w:val="20"/>
              </w:rPr>
            </w:pPr>
            <w:r w:rsidRPr="003769B9">
              <w:rPr>
                <w:rFonts w:cs="Times New Roman"/>
                <w:b/>
                <w:sz w:val="20"/>
                <w:szCs w:val="20"/>
              </w:rPr>
              <w:t>Anchor case(s)</w:t>
            </w:r>
          </w:p>
        </w:tc>
        <w:tc>
          <w:tcPr>
            <w:tcW w:w="2126" w:type="dxa"/>
          </w:tcPr>
          <w:p w:rsidR="00574372" w:rsidRPr="003769B9" w:rsidRDefault="004B04A1" w:rsidP="007D528F">
            <w:pPr>
              <w:spacing w:before="240"/>
              <w:rPr>
                <w:rFonts w:cs="Times New Roman"/>
                <w:b/>
                <w:sz w:val="20"/>
                <w:szCs w:val="20"/>
              </w:rPr>
            </w:pPr>
            <w:r w:rsidRPr="003769B9">
              <w:rPr>
                <w:rFonts w:cs="Times New Roman"/>
                <w:b/>
                <w:sz w:val="20"/>
                <w:szCs w:val="20"/>
              </w:rPr>
              <w:t>Representative artifact-level cue(s)</w:t>
            </w:r>
          </w:p>
        </w:tc>
        <w:tc>
          <w:tcPr>
            <w:tcW w:w="2020" w:type="dxa"/>
          </w:tcPr>
          <w:p w:rsidR="00574372" w:rsidRPr="003769B9" w:rsidRDefault="004B04A1" w:rsidP="007D528F">
            <w:pPr>
              <w:spacing w:before="240"/>
              <w:rPr>
                <w:rFonts w:cs="Times New Roman"/>
                <w:b/>
                <w:sz w:val="20"/>
                <w:szCs w:val="20"/>
              </w:rPr>
            </w:pPr>
            <w:r w:rsidRPr="003769B9">
              <w:rPr>
                <w:rFonts w:cs="Times New Roman"/>
                <w:b/>
                <w:sz w:val="20"/>
                <w:szCs w:val="20"/>
              </w:rPr>
              <w:t>First-cycle code(s)</w:t>
            </w:r>
          </w:p>
        </w:tc>
        <w:tc>
          <w:tcPr>
            <w:tcW w:w="1625" w:type="dxa"/>
          </w:tcPr>
          <w:p w:rsidR="00574372" w:rsidRPr="003769B9" w:rsidRDefault="004B04A1" w:rsidP="007D528F">
            <w:pPr>
              <w:spacing w:before="240"/>
              <w:rPr>
                <w:rFonts w:cs="Times New Roman"/>
                <w:b/>
                <w:sz w:val="20"/>
                <w:szCs w:val="20"/>
              </w:rPr>
            </w:pPr>
            <w:r w:rsidRPr="003769B9">
              <w:rPr>
                <w:rFonts w:cs="Times New Roman"/>
                <w:b/>
                <w:sz w:val="20"/>
                <w:szCs w:val="20"/>
              </w:rPr>
              <w:t>Theme-level mechanism</w:t>
            </w:r>
          </w:p>
        </w:tc>
      </w:tr>
      <w:tr w:rsidR="00574372" w:rsidRPr="003769B9" w:rsidTr="007D528F">
        <w:tc>
          <w:tcPr>
            <w:tcW w:w="1703" w:type="dxa"/>
          </w:tcPr>
          <w:p w:rsidR="00574372" w:rsidRPr="003769B9" w:rsidRDefault="004B04A1" w:rsidP="007D528F">
            <w:pPr>
              <w:spacing w:before="240"/>
              <w:rPr>
                <w:rFonts w:cs="Times New Roman"/>
                <w:b/>
                <w:sz w:val="20"/>
                <w:szCs w:val="20"/>
              </w:rPr>
            </w:pPr>
            <w:r w:rsidRPr="003769B9">
              <w:rPr>
                <w:rFonts w:cs="Times New Roman"/>
                <w:b/>
                <w:sz w:val="20"/>
                <w:szCs w:val="20"/>
              </w:rPr>
              <w:t>Uncertainty reduction</w:t>
            </w:r>
          </w:p>
        </w:tc>
        <w:tc>
          <w:tcPr>
            <w:tcW w:w="1274" w:type="dxa"/>
          </w:tcPr>
          <w:p w:rsidR="00574372" w:rsidRPr="003769B9" w:rsidRDefault="004B04A1" w:rsidP="007D528F">
            <w:pPr>
              <w:spacing w:before="240"/>
              <w:rPr>
                <w:rFonts w:cs="Times New Roman"/>
                <w:sz w:val="20"/>
                <w:szCs w:val="20"/>
              </w:rPr>
            </w:pPr>
            <w:r w:rsidRPr="003769B9">
              <w:rPr>
                <w:rFonts w:cs="Times New Roman"/>
                <w:sz w:val="20"/>
                <w:szCs w:val="20"/>
              </w:rPr>
              <w:t>Where to Settle; Data Tienda</w:t>
            </w:r>
          </w:p>
        </w:tc>
        <w:tc>
          <w:tcPr>
            <w:tcW w:w="2126" w:type="dxa"/>
          </w:tcPr>
          <w:p w:rsidR="00574372" w:rsidRPr="003769B9" w:rsidRDefault="004B04A1" w:rsidP="007D528F">
            <w:pPr>
              <w:spacing w:before="240"/>
              <w:rPr>
                <w:rFonts w:cs="Times New Roman"/>
                <w:sz w:val="20"/>
                <w:szCs w:val="20"/>
              </w:rPr>
            </w:pPr>
            <w:r w:rsidRPr="003769B9">
              <w:rPr>
                <w:rFonts w:cs="Times New Roman"/>
                <w:sz w:val="20"/>
                <w:szCs w:val="20"/>
              </w:rPr>
              <w:t>Integrated dashboard; place-based comparison cues; informal-credit record made legible</w:t>
            </w:r>
          </w:p>
        </w:tc>
        <w:tc>
          <w:tcPr>
            <w:tcW w:w="2020" w:type="dxa"/>
          </w:tcPr>
          <w:p w:rsidR="00574372" w:rsidRPr="003769B9" w:rsidRDefault="004B04A1" w:rsidP="007D528F">
            <w:pPr>
              <w:spacing w:before="240"/>
              <w:rPr>
                <w:rFonts w:cs="Times New Roman"/>
                <w:sz w:val="20"/>
                <w:szCs w:val="20"/>
              </w:rPr>
            </w:pPr>
            <w:r w:rsidRPr="003769B9">
              <w:rPr>
                <w:rFonts w:cs="Times New Roman"/>
                <w:sz w:val="20"/>
                <w:szCs w:val="20"/>
              </w:rPr>
              <w:t>comparison simplification; decision-support scaffold; financial legibility cue</w:t>
            </w:r>
          </w:p>
        </w:tc>
        <w:tc>
          <w:tcPr>
            <w:tcW w:w="1625" w:type="dxa"/>
          </w:tcPr>
          <w:p w:rsidR="00574372" w:rsidRPr="003769B9" w:rsidRDefault="004B04A1" w:rsidP="007D528F">
            <w:pPr>
              <w:spacing w:before="240"/>
              <w:rPr>
                <w:rFonts w:cs="Times New Roman"/>
                <w:sz w:val="20"/>
                <w:szCs w:val="20"/>
              </w:rPr>
            </w:pPr>
            <w:r w:rsidRPr="003769B9">
              <w:rPr>
                <w:rFonts w:cs="Times New Roman"/>
                <w:sz w:val="20"/>
                <w:szCs w:val="20"/>
              </w:rPr>
              <w:t>Informational redesign that reduces ambiguity and increases perceived control</w:t>
            </w:r>
          </w:p>
        </w:tc>
      </w:tr>
      <w:tr w:rsidR="00574372" w:rsidRPr="003769B9" w:rsidTr="007D528F">
        <w:tc>
          <w:tcPr>
            <w:tcW w:w="1703" w:type="dxa"/>
          </w:tcPr>
          <w:p w:rsidR="00574372" w:rsidRPr="003769B9" w:rsidRDefault="004B04A1" w:rsidP="007D528F">
            <w:pPr>
              <w:spacing w:before="240"/>
              <w:rPr>
                <w:rFonts w:cs="Times New Roman"/>
                <w:b/>
                <w:sz w:val="20"/>
                <w:szCs w:val="20"/>
              </w:rPr>
            </w:pPr>
            <w:r w:rsidRPr="003769B9">
              <w:rPr>
                <w:rFonts w:cs="Times New Roman"/>
                <w:b/>
                <w:sz w:val="20"/>
                <w:szCs w:val="20"/>
              </w:rPr>
              <w:t>Motivational reframing</w:t>
            </w:r>
          </w:p>
        </w:tc>
        <w:tc>
          <w:tcPr>
            <w:tcW w:w="1274" w:type="dxa"/>
          </w:tcPr>
          <w:p w:rsidR="00574372" w:rsidRPr="003769B9" w:rsidRDefault="004B04A1" w:rsidP="007D528F">
            <w:pPr>
              <w:spacing w:before="240"/>
              <w:rPr>
                <w:rFonts w:cs="Times New Roman"/>
                <w:sz w:val="20"/>
                <w:szCs w:val="20"/>
              </w:rPr>
            </w:pPr>
            <w:r w:rsidRPr="003769B9">
              <w:rPr>
                <w:rFonts w:cs="Times New Roman"/>
                <w:sz w:val="20"/>
                <w:szCs w:val="20"/>
              </w:rPr>
              <w:t>Saylists; A Piece of Me</w:t>
            </w:r>
          </w:p>
        </w:tc>
        <w:tc>
          <w:tcPr>
            <w:tcW w:w="2126" w:type="dxa"/>
          </w:tcPr>
          <w:p w:rsidR="00574372" w:rsidRPr="003769B9" w:rsidRDefault="004B04A1" w:rsidP="007D528F">
            <w:pPr>
              <w:spacing w:before="240"/>
              <w:rPr>
                <w:rFonts w:cs="Times New Roman"/>
                <w:sz w:val="20"/>
                <w:szCs w:val="20"/>
              </w:rPr>
            </w:pPr>
            <w:r w:rsidRPr="003769B9">
              <w:rPr>
                <w:rFonts w:cs="Times New Roman"/>
                <w:sz w:val="20"/>
                <w:szCs w:val="20"/>
              </w:rPr>
              <w:t>Music-linked participation routine; empathy-rich cultural cue; rewarding interaction sequence</w:t>
            </w:r>
          </w:p>
        </w:tc>
        <w:tc>
          <w:tcPr>
            <w:tcW w:w="2020" w:type="dxa"/>
          </w:tcPr>
          <w:p w:rsidR="00574372" w:rsidRPr="003769B9" w:rsidRDefault="004B04A1" w:rsidP="007D528F">
            <w:pPr>
              <w:spacing w:before="240"/>
              <w:rPr>
                <w:rFonts w:cs="Times New Roman"/>
                <w:sz w:val="20"/>
                <w:szCs w:val="20"/>
              </w:rPr>
            </w:pPr>
            <w:r w:rsidRPr="003769B9">
              <w:rPr>
                <w:rFonts w:cs="Times New Roman"/>
                <w:sz w:val="20"/>
                <w:szCs w:val="20"/>
              </w:rPr>
              <w:t>effort reframed as participation; norm reframing; affective reward cue</w:t>
            </w:r>
          </w:p>
        </w:tc>
        <w:tc>
          <w:tcPr>
            <w:tcW w:w="1625" w:type="dxa"/>
          </w:tcPr>
          <w:p w:rsidR="00574372" w:rsidRPr="003769B9" w:rsidRDefault="004B04A1" w:rsidP="007D528F">
            <w:pPr>
              <w:spacing w:before="240"/>
              <w:rPr>
                <w:rFonts w:cs="Times New Roman"/>
                <w:sz w:val="20"/>
                <w:szCs w:val="20"/>
              </w:rPr>
            </w:pPr>
            <w:r w:rsidRPr="003769B9">
              <w:rPr>
                <w:rFonts w:cs="Times New Roman"/>
                <w:sz w:val="20"/>
                <w:szCs w:val="20"/>
              </w:rPr>
              <w:t>Meaning and salience are redesigned so the desired action feels more engaging</w:t>
            </w:r>
          </w:p>
        </w:tc>
      </w:tr>
      <w:tr w:rsidR="00574372" w:rsidRPr="003769B9" w:rsidTr="007D528F">
        <w:tc>
          <w:tcPr>
            <w:tcW w:w="1703" w:type="dxa"/>
          </w:tcPr>
          <w:p w:rsidR="00574372" w:rsidRPr="003769B9" w:rsidRDefault="004B04A1" w:rsidP="007D528F">
            <w:pPr>
              <w:spacing w:before="240"/>
              <w:rPr>
                <w:rFonts w:cs="Times New Roman"/>
                <w:b/>
                <w:sz w:val="20"/>
                <w:szCs w:val="20"/>
              </w:rPr>
            </w:pPr>
            <w:r w:rsidRPr="003769B9">
              <w:rPr>
                <w:rFonts w:cs="Times New Roman"/>
                <w:b/>
                <w:sz w:val="20"/>
                <w:szCs w:val="20"/>
              </w:rPr>
              <w:t>Credibility signaling</w:t>
            </w:r>
          </w:p>
        </w:tc>
        <w:tc>
          <w:tcPr>
            <w:tcW w:w="1274" w:type="dxa"/>
          </w:tcPr>
          <w:p w:rsidR="00574372" w:rsidRPr="003769B9" w:rsidRDefault="004B04A1" w:rsidP="007D528F">
            <w:pPr>
              <w:spacing w:before="240"/>
              <w:rPr>
                <w:rFonts w:cs="Times New Roman"/>
                <w:sz w:val="20"/>
                <w:szCs w:val="20"/>
              </w:rPr>
            </w:pPr>
            <w:r w:rsidRPr="003769B9">
              <w:rPr>
                <w:rFonts w:cs="Times New Roman"/>
                <w:sz w:val="20"/>
                <w:szCs w:val="20"/>
              </w:rPr>
              <w:t>Vaseline Verified; Data Tienda</w:t>
            </w:r>
          </w:p>
        </w:tc>
        <w:tc>
          <w:tcPr>
            <w:tcW w:w="2126" w:type="dxa"/>
          </w:tcPr>
          <w:p w:rsidR="00574372" w:rsidRPr="003769B9" w:rsidRDefault="004B04A1" w:rsidP="007D528F">
            <w:pPr>
              <w:spacing w:before="240"/>
              <w:rPr>
                <w:rFonts w:cs="Times New Roman"/>
                <w:sz w:val="20"/>
                <w:szCs w:val="20"/>
              </w:rPr>
            </w:pPr>
            <w:r w:rsidRPr="003769B9">
              <w:rPr>
                <w:rFonts w:cs="Times New Roman"/>
                <w:sz w:val="20"/>
                <w:szCs w:val="20"/>
              </w:rPr>
              <w:t>Verified/Unverified labels; lab/expert substantiation; lender-facing credibility record</w:t>
            </w:r>
          </w:p>
        </w:tc>
        <w:tc>
          <w:tcPr>
            <w:tcW w:w="2020" w:type="dxa"/>
          </w:tcPr>
          <w:p w:rsidR="00574372" w:rsidRPr="003769B9" w:rsidRDefault="004B04A1" w:rsidP="007D528F">
            <w:pPr>
              <w:spacing w:before="240"/>
              <w:rPr>
                <w:rFonts w:cs="Times New Roman"/>
                <w:sz w:val="20"/>
                <w:szCs w:val="20"/>
              </w:rPr>
            </w:pPr>
            <w:r w:rsidRPr="003769B9">
              <w:rPr>
                <w:rFonts w:cs="Times New Roman"/>
                <w:sz w:val="20"/>
                <w:szCs w:val="20"/>
              </w:rPr>
              <w:t>verification cue; corrective evidence signal; trust-calibration scaffold</w:t>
            </w:r>
          </w:p>
        </w:tc>
        <w:tc>
          <w:tcPr>
            <w:tcW w:w="1625" w:type="dxa"/>
          </w:tcPr>
          <w:p w:rsidR="00574372" w:rsidRPr="003769B9" w:rsidRDefault="004B04A1" w:rsidP="007D528F">
            <w:pPr>
              <w:spacing w:before="240"/>
              <w:rPr>
                <w:rFonts w:cs="Times New Roman"/>
                <w:sz w:val="20"/>
                <w:szCs w:val="20"/>
              </w:rPr>
            </w:pPr>
            <w:r w:rsidRPr="003769B9">
              <w:rPr>
                <w:rFonts w:cs="Times New Roman"/>
                <w:sz w:val="20"/>
                <w:szCs w:val="20"/>
              </w:rPr>
              <w:t>Visible substantiation stabilizes interpretation and reduces claim conflict</w:t>
            </w:r>
          </w:p>
        </w:tc>
      </w:tr>
      <w:tr w:rsidR="00574372" w:rsidRPr="003769B9" w:rsidTr="007D528F">
        <w:tc>
          <w:tcPr>
            <w:tcW w:w="1703" w:type="dxa"/>
          </w:tcPr>
          <w:p w:rsidR="00574372" w:rsidRPr="003769B9" w:rsidRDefault="004B04A1" w:rsidP="007D528F">
            <w:pPr>
              <w:spacing w:before="240"/>
              <w:rPr>
                <w:rFonts w:cs="Times New Roman"/>
                <w:b/>
                <w:sz w:val="20"/>
                <w:szCs w:val="20"/>
              </w:rPr>
            </w:pPr>
            <w:r w:rsidRPr="003769B9">
              <w:rPr>
                <w:rFonts w:cs="Times New Roman"/>
                <w:b/>
                <w:sz w:val="20"/>
                <w:szCs w:val="20"/>
              </w:rPr>
              <w:t>Psychological safety</w:t>
            </w:r>
          </w:p>
        </w:tc>
        <w:tc>
          <w:tcPr>
            <w:tcW w:w="1274" w:type="dxa"/>
          </w:tcPr>
          <w:p w:rsidR="00574372" w:rsidRPr="003769B9" w:rsidRDefault="004B04A1" w:rsidP="007D528F">
            <w:pPr>
              <w:spacing w:before="240"/>
              <w:rPr>
                <w:rFonts w:cs="Times New Roman"/>
                <w:sz w:val="20"/>
                <w:szCs w:val="20"/>
              </w:rPr>
            </w:pPr>
            <w:r w:rsidRPr="003769B9">
              <w:rPr>
                <w:rFonts w:cs="Times New Roman"/>
                <w:sz w:val="20"/>
                <w:szCs w:val="20"/>
              </w:rPr>
              <w:t>AXA; Knock Knock; True Name</w:t>
            </w:r>
          </w:p>
        </w:tc>
        <w:tc>
          <w:tcPr>
            <w:tcW w:w="2126" w:type="dxa"/>
          </w:tcPr>
          <w:p w:rsidR="00574372" w:rsidRPr="003769B9" w:rsidRDefault="004B04A1" w:rsidP="007D528F">
            <w:pPr>
              <w:spacing w:before="240"/>
              <w:rPr>
                <w:rFonts w:cs="Times New Roman"/>
                <w:sz w:val="20"/>
                <w:szCs w:val="20"/>
              </w:rPr>
            </w:pPr>
            <w:r w:rsidRPr="003769B9">
              <w:rPr>
                <w:rFonts w:cs="Times New Roman"/>
                <w:sz w:val="20"/>
                <w:szCs w:val="20"/>
              </w:rPr>
              <w:t>Discreet activation clause; silent tap route; chosen-name service option</w:t>
            </w:r>
          </w:p>
        </w:tc>
        <w:tc>
          <w:tcPr>
            <w:tcW w:w="2020" w:type="dxa"/>
          </w:tcPr>
          <w:p w:rsidR="00574372" w:rsidRPr="003769B9" w:rsidRDefault="004B04A1" w:rsidP="007D528F">
            <w:pPr>
              <w:spacing w:before="240"/>
              <w:rPr>
                <w:rFonts w:cs="Times New Roman"/>
                <w:sz w:val="20"/>
                <w:szCs w:val="20"/>
              </w:rPr>
            </w:pPr>
            <w:r w:rsidRPr="003769B9">
              <w:rPr>
                <w:rFonts w:cs="Times New Roman"/>
                <w:sz w:val="20"/>
                <w:szCs w:val="20"/>
              </w:rPr>
              <w:t>confidential access cue; fear-reduction scaffold; identity-protection signal</w:t>
            </w:r>
          </w:p>
        </w:tc>
        <w:tc>
          <w:tcPr>
            <w:tcW w:w="1625" w:type="dxa"/>
          </w:tcPr>
          <w:p w:rsidR="00574372" w:rsidRPr="003769B9" w:rsidRDefault="004B04A1" w:rsidP="007D528F">
            <w:pPr>
              <w:spacing w:before="240"/>
              <w:rPr>
                <w:rFonts w:cs="Times New Roman"/>
                <w:sz w:val="20"/>
                <w:szCs w:val="20"/>
              </w:rPr>
            </w:pPr>
            <w:r w:rsidRPr="003769B9">
              <w:rPr>
                <w:rFonts w:cs="Times New Roman"/>
                <w:sz w:val="20"/>
                <w:szCs w:val="20"/>
              </w:rPr>
              <w:t>Safer relational conditions lower disclosure risk and support vulnerable action</w:t>
            </w:r>
          </w:p>
        </w:tc>
      </w:tr>
      <w:tr w:rsidR="00574372" w:rsidRPr="003769B9" w:rsidTr="007D528F">
        <w:tc>
          <w:tcPr>
            <w:tcW w:w="1703" w:type="dxa"/>
          </w:tcPr>
          <w:p w:rsidR="00574372" w:rsidRPr="003769B9" w:rsidRDefault="004B04A1" w:rsidP="007D528F">
            <w:pPr>
              <w:spacing w:before="240"/>
              <w:rPr>
                <w:rFonts w:cs="Times New Roman"/>
                <w:b/>
                <w:sz w:val="20"/>
                <w:szCs w:val="20"/>
              </w:rPr>
            </w:pPr>
            <w:r w:rsidRPr="003769B9">
              <w:rPr>
                <w:rFonts w:cs="Times New Roman"/>
                <w:b/>
                <w:sz w:val="20"/>
                <w:szCs w:val="20"/>
              </w:rPr>
              <w:t>Inclusive accessibility</w:t>
            </w:r>
          </w:p>
        </w:tc>
        <w:tc>
          <w:tcPr>
            <w:tcW w:w="1274" w:type="dxa"/>
          </w:tcPr>
          <w:p w:rsidR="00574372" w:rsidRPr="003769B9" w:rsidRDefault="004B04A1" w:rsidP="007D528F">
            <w:pPr>
              <w:spacing w:before="240"/>
              <w:rPr>
                <w:rFonts w:cs="Times New Roman"/>
                <w:sz w:val="20"/>
                <w:szCs w:val="20"/>
              </w:rPr>
            </w:pPr>
            <w:r w:rsidRPr="003769B9">
              <w:rPr>
                <w:rFonts w:cs="Times New Roman"/>
                <w:sz w:val="20"/>
                <w:szCs w:val="20"/>
              </w:rPr>
              <w:t>Caption with Intention; Sightwalks</w:t>
            </w:r>
          </w:p>
        </w:tc>
        <w:tc>
          <w:tcPr>
            <w:tcW w:w="2126" w:type="dxa"/>
          </w:tcPr>
          <w:p w:rsidR="00574372" w:rsidRPr="003769B9" w:rsidRDefault="004B04A1" w:rsidP="007D528F">
            <w:pPr>
              <w:spacing w:before="240"/>
              <w:rPr>
                <w:rFonts w:cs="Times New Roman"/>
                <w:sz w:val="20"/>
                <w:szCs w:val="20"/>
              </w:rPr>
            </w:pPr>
            <w:r w:rsidRPr="003769B9">
              <w:rPr>
                <w:rFonts w:cs="Times New Roman"/>
                <w:sz w:val="20"/>
                <w:szCs w:val="20"/>
              </w:rPr>
              <w:t>Timing/segmentation rules; expressive captioning; tactile wayfinding cues</w:t>
            </w:r>
          </w:p>
        </w:tc>
        <w:tc>
          <w:tcPr>
            <w:tcW w:w="2020" w:type="dxa"/>
          </w:tcPr>
          <w:p w:rsidR="00574372" w:rsidRPr="003769B9" w:rsidRDefault="004B04A1" w:rsidP="007D528F">
            <w:pPr>
              <w:spacing w:before="240"/>
              <w:rPr>
                <w:rFonts w:cs="Times New Roman"/>
                <w:sz w:val="20"/>
                <w:szCs w:val="20"/>
              </w:rPr>
            </w:pPr>
            <w:r w:rsidRPr="003769B9">
              <w:rPr>
                <w:rFonts w:cs="Times New Roman"/>
                <w:sz w:val="20"/>
                <w:szCs w:val="20"/>
              </w:rPr>
              <w:t>readability support; multimodal meaning cue; navigation accessibility scaffold</w:t>
            </w:r>
          </w:p>
        </w:tc>
        <w:tc>
          <w:tcPr>
            <w:tcW w:w="1625" w:type="dxa"/>
          </w:tcPr>
          <w:p w:rsidR="00574372" w:rsidRPr="003769B9" w:rsidRDefault="004B04A1" w:rsidP="007D528F">
            <w:pPr>
              <w:spacing w:before="240"/>
              <w:rPr>
                <w:rFonts w:cs="Times New Roman"/>
                <w:sz w:val="20"/>
                <w:szCs w:val="20"/>
              </w:rPr>
            </w:pPr>
            <w:r w:rsidRPr="003769B9">
              <w:rPr>
                <w:rFonts w:cs="Times New Roman"/>
                <w:sz w:val="20"/>
                <w:szCs w:val="20"/>
              </w:rPr>
              <w:t>Sensory and cognitive barriers are reduced to widen access and participation</w:t>
            </w:r>
          </w:p>
        </w:tc>
      </w:tr>
    </w:tbl>
    <w:p w:rsidR="003769B9" w:rsidRPr="003769B9" w:rsidRDefault="003769B9" w:rsidP="003769B9">
      <w:pPr>
        <w:spacing w:line="240" w:lineRule="auto"/>
        <w:jc w:val="both"/>
        <w:rPr>
          <w:rFonts w:cs="Times New Roman"/>
          <w:szCs w:val="24"/>
        </w:rPr>
      </w:pPr>
    </w:p>
    <w:p w:rsidR="003769B9" w:rsidRDefault="003769B9" w:rsidP="003769B9">
      <w:pPr>
        <w:spacing w:line="240" w:lineRule="auto"/>
        <w:jc w:val="both"/>
        <w:rPr>
          <w:rFonts w:cs="Times New Roman"/>
          <w:szCs w:val="24"/>
        </w:rPr>
      </w:pPr>
    </w:p>
    <w:p w:rsidR="007D528F" w:rsidRDefault="007D528F" w:rsidP="003769B9">
      <w:pPr>
        <w:spacing w:line="240" w:lineRule="auto"/>
        <w:jc w:val="both"/>
        <w:rPr>
          <w:rFonts w:cs="Times New Roman"/>
          <w:szCs w:val="24"/>
        </w:rPr>
      </w:pPr>
    </w:p>
    <w:p w:rsidR="007D528F" w:rsidRPr="003769B9" w:rsidRDefault="007D528F" w:rsidP="003769B9">
      <w:pPr>
        <w:spacing w:line="240" w:lineRule="auto"/>
        <w:jc w:val="both"/>
        <w:rPr>
          <w:rFonts w:cs="Times New Roman"/>
          <w:szCs w:val="24"/>
        </w:rPr>
      </w:pPr>
    </w:p>
    <w:p w:rsidR="003769B9" w:rsidRPr="003769B9" w:rsidRDefault="003769B9" w:rsidP="003769B9">
      <w:pPr>
        <w:spacing w:line="240" w:lineRule="auto"/>
        <w:jc w:val="both"/>
        <w:rPr>
          <w:rFonts w:cs="Times New Roman"/>
          <w:szCs w:val="24"/>
        </w:rPr>
      </w:pPr>
    </w:p>
    <w:p w:rsidR="00574372" w:rsidRPr="007D528F" w:rsidRDefault="004B04A1" w:rsidP="003769B9">
      <w:pPr>
        <w:spacing w:line="480" w:lineRule="auto"/>
        <w:jc w:val="both"/>
        <w:rPr>
          <w:rFonts w:cs="Times New Roman"/>
          <w:b/>
          <w:szCs w:val="24"/>
        </w:rPr>
      </w:pPr>
      <w:r w:rsidRPr="007D528F">
        <w:rPr>
          <w:b/>
        </w:rPr>
        <w:lastRenderedPageBreak/>
        <w:t>A4. Supporting-case matrix</w:t>
      </w:r>
    </w:p>
    <w:p w:rsidR="00574372" w:rsidRPr="003769B9" w:rsidRDefault="004B04A1" w:rsidP="003769B9">
      <w:pPr>
        <w:spacing w:line="480" w:lineRule="auto"/>
        <w:jc w:val="both"/>
        <w:rPr>
          <w:rFonts w:cs="Times New Roman"/>
          <w:szCs w:val="24"/>
        </w:rPr>
      </w:pPr>
      <w:r>
        <w:t xml:space="preserve">Table S4 summarizes how the 15 supporting cases extend the five BDFA mechanisms </w:t>
      </w:r>
      <w:proofErr w:type="gramStart"/>
      <w:r>
        <w:t>reported</w:t>
      </w:r>
      <w:proofErr w:type="gramEnd"/>
      <w:r>
        <w:t xml:space="preserve"> in the manuscript.</w:t>
      </w:r>
    </w:p>
    <w:tbl>
      <w:tblPr>
        <w:tblStyle w:val="TabloKlavuzu"/>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002"/>
        <w:gridCol w:w="1367"/>
        <w:gridCol w:w="2551"/>
        <w:gridCol w:w="2936"/>
      </w:tblGrid>
      <w:tr w:rsidR="00574372" w:rsidRPr="003769B9" w:rsidTr="007D528F">
        <w:tc>
          <w:tcPr>
            <w:tcW w:w="2002" w:type="dxa"/>
          </w:tcPr>
          <w:p w:rsidR="00574372" w:rsidRPr="003769B9" w:rsidRDefault="004B04A1" w:rsidP="007D528F">
            <w:pPr>
              <w:spacing w:before="240" w:line="360" w:lineRule="auto"/>
              <w:jc w:val="both"/>
              <w:rPr>
                <w:rFonts w:cs="Times New Roman"/>
                <w:b/>
                <w:sz w:val="20"/>
                <w:szCs w:val="20"/>
              </w:rPr>
            </w:pPr>
            <w:r w:rsidRPr="003769B9">
              <w:rPr>
                <w:rFonts w:cs="Times New Roman"/>
                <w:b/>
                <w:sz w:val="20"/>
                <w:szCs w:val="20"/>
              </w:rPr>
              <w:t>Supporting case</w:t>
            </w:r>
          </w:p>
        </w:tc>
        <w:tc>
          <w:tcPr>
            <w:tcW w:w="1367" w:type="dxa"/>
          </w:tcPr>
          <w:p w:rsidR="00574372" w:rsidRPr="003769B9" w:rsidRDefault="004B04A1" w:rsidP="007D528F">
            <w:pPr>
              <w:spacing w:before="240" w:line="360" w:lineRule="auto"/>
              <w:jc w:val="both"/>
              <w:rPr>
                <w:rFonts w:cs="Times New Roman"/>
                <w:b/>
                <w:sz w:val="20"/>
                <w:szCs w:val="20"/>
              </w:rPr>
            </w:pPr>
            <w:r w:rsidRPr="003769B9">
              <w:rPr>
                <w:rFonts w:cs="Times New Roman"/>
                <w:b/>
                <w:sz w:val="20"/>
                <w:szCs w:val="20"/>
              </w:rPr>
              <w:t>Primary mechanism</w:t>
            </w:r>
          </w:p>
        </w:tc>
        <w:tc>
          <w:tcPr>
            <w:tcW w:w="2551" w:type="dxa"/>
          </w:tcPr>
          <w:p w:rsidR="00574372" w:rsidRPr="003769B9" w:rsidRDefault="004B04A1" w:rsidP="007D528F">
            <w:pPr>
              <w:spacing w:before="240" w:line="360" w:lineRule="auto"/>
              <w:jc w:val="both"/>
              <w:rPr>
                <w:rFonts w:cs="Times New Roman"/>
                <w:b/>
                <w:sz w:val="20"/>
                <w:szCs w:val="20"/>
              </w:rPr>
            </w:pPr>
            <w:r w:rsidRPr="003769B9">
              <w:rPr>
                <w:rFonts w:cs="Times New Roman"/>
                <w:b/>
                <w:sz w:val="20"/>
                <w:szCs w:val="20"/>
              </w:rPr>
              <w:t>Replication note</w:t>
            </w:r>
          </w:p>
        </w:tc>
        <w:tc>
          <w:tcPr>
            <w:tcW w:w="2936" w:type="dxa"/>
          </w:tcPr>
          <w:p w:rsidR="00574372" w:rsidRPr="003769B9" w:rsidRDefault="004B04A1" w:rsidP="007D528F">
            <w:pPr>
              <w:spacing w:before="240" w:line="360" w:lineRule="auto"/>
              <w:jc w:val="both"/>
              <w:rPr>
                <w:rFonts w:cs="Times New Roman"/>
                <w:b/>
                <w:sz w:val="20"/>
                <w:szCs w:val="20"/>
              </w:rPr>
            </w:pPr>
            <w:r w:rsidRPr="003769B9">
              <w:rPr>
                <w:rFonts w:cs="Times New Roman"/>
                <w:b/>
                <w:sz w:val="20"/>
                <w:szCs w:val="20"/>
              </w:rPr>
              <w:t>Reason retained as supporting case</w:t>
            </w:r>
          </w:p>
        </w:tc>
      </w:tr>
      <w:tr w:rsidR="00574372" w:rsidRPr="003769B9" w:rsidTr="007D528F">
        <w:tc>
          <w:tcPr>
            <w:tcW w:w="2002"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Indian Railways - Lucky Yatra</w:t>
            </w:r>
          </w:p>
        </w:tc>
        <w:tc>
          <w:tcPr>
            <w:tcW w:w="1367"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Motivational reframing</w:t>
            </w:r>
          </w:p>
        </w:tc>
        <w:tc>
          <w:tcPr>
            <w:tcW w:w="2551"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Shows reward-based reframing and compliance gamification</w:t>
            </w:r>
          </w:p>
        </w:tc>
        <w:tc>
          <w:tcPr>
            <w:tcW w:w="2936"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Clear mechanism, but main text already covers motivational reframing through richer anchors</w:t>
            </w:r>
          </w:p>
        </w:tc>
      </w:tr>
      <w:tr w:rsidR="00574372" w:rsidRPr="003769B9" w:rsidTr="007D528F">
        <w:tc>
          <w:tcPr>
            <w:tcW w:w="2002"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Dove - Real Beauty Redefined for the AI Era</w:t>
            </w:r>
          </w:p>
        </w:tc>
        <w:tc>
          <w:tcPr>
            <w:tcW w:w="1367"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Credibility signaling</w:t>
            </w:r>
          </w:p>
        </w:tc>
        <w:tc>
          <w:tcPr>
            <w:tcW w:w="2551"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Extends trust/transparency questions into AI-mediated representation</w:t>
            </w:r>
          </w:p>
        </w:tc>
        <w:tc>
          <w:tcPr>
            <w:tcW w:w="2936"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Better used as reinforcement for verification/transparency rather than a core anchor</w:t>
            </w:r>
          </w:p>
        </w:tc>
      </w:tr>
      <w:tr w:rsidR="00574372" w:rsidRPr="003769B9" w:rsidTr="007D528F">
        <w:tc>
          <w:tcPr>
            <w:tcW w:w="2002"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Mastercard - Room for Everyone</w:t>
            </w:r>
          </w:p>
        </w:tc>
        <w:tc>
          <w:tcPr>
            <w:tcW w:w="1367"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Uncertainty reduction</w:t>
            </w:r>
          </w:p>
        </w:tc>
        <w:tc>
          <w:tcPr>
            <w:tcW w:w="2551"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Extends access guidance and inclusion through data-informed placement</w:t>
            </w:r>
          </w:p>
        </w:tc>
        <w:tc>
          <w:tcPr>
            <w:tcW w:w="2936"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Overlap with Where to Settle made it more efficient as a supporting case</w:t>
            </w:r>
          </w:p>
        </w:tc>
      </w:tr>
      <w:tr w:rsidR="00574372" w:rsidRPr="003769B9" w:rsidTr="007D528F">
        <w:tc>
          <w:tcPr>
            <w:tcW w:w="2002"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Renault - Cars to Work</w:t>
            </w:r>
          </w:p>
        </w:tc>
        <w:tc>
          <w:tcPr>
            <w:tcW w:w="1367"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Uncertainty reduction</w:t>
            </w:r>
          </w:p>
        </w:tc>
        <w:tc>
          <w:tcPr>
            <w:tcW w:w="2551"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Reduces practical frictions around employment access</w:t>
            </w:r>
          </w:p>
        </w:tc>
        <w:tc>
          <w:tcPr>
            <w:tcW w:w="2936"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Useful replication case but lighter artifact depth for full-text treatment</w:t>
            </w:r>
          </w:p>
        </w:tc>
      </w:tr>
      <w:tr w:rsidR="00574372" w:rsidRPr="003769B9" w:rsidTr="007D528F">
        <w:tc>
          <w:tcPr>
            <w:tcW w:w="2002"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Xbox - The Everyday Tactician</w:t>
            </w:r>
          </w:p>
        </w:tc>
        <w:tc>
          <w:tcPr>
            <w:tcW w:w="1367"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Motivational reframing</w:t>
            </w:r>
          </w:p>
        </w:tc>
        <w:tc>
          <w:tcPr>
            <w:tcW w:w="2551"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Shows culturally native participation cues and motivational reframing</w:t>
            </w:r>
          </w:p>
        </w:tc>
        <w:tc>
          <w:tcPr>
            <w:tcW w:w="2936"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Less central to the manuscript's welfare/safety emphasis</w:t>
            </w:r>
          </w:p>
        </w:tc>
      </w:tr>
      <w:tr w:rsidR="00574372" w:rsidRPr="003769B9" w:rsidTr="007D528F">
        <w:tc>
          <w:tcPr>
            <w:tcW w:w="2002"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Dove - #TurnYourBack</w:t>
            </w:r>
          </w:p>
        </w:tc>
        <w:tc>
          <w:tcPr>
            <w:tcW w:w="1367"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Credibility signaling</w:t>
            </w:r>
          </w:p>
        </w:tc>
        <w:tc>
          <w:tcPr>
            <w:tcW w:w="2551"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Replicates corrective social-proof and authenticity cues</w:t>
            </w:r>
          </w:p>
        </w:tc>
        <w:tc>
          <w:tcPr>
            <w:tcW w:w="2936"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Conceptually close to broader credibility cases</w:t>
            </w:r>
          </w:p>
        </w:tc>
      </w:tr>
      <w:tr w:rsidR="00574372" w:rsidRPr="003769B9" w:rsidTr="007D528F">
        <w:tc>
          <w:tcPr>
            <w:tcW w:w="2002"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Samsung - Flipvertising</w:t>
            </w:r>
          </w:p>
        </w:tc>
        <w:tc>
          <w:tcPr>
            <w:tcW w:w="1367"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Motivational reframing</w:t>
            </w:r>
          </w:p>
        </w:tc>
        <w:tc>
          <w:tcPr>
            <w:tcW w:w="2551"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Transforms ad exposure into sought-out interaction</w:t>
            </w:r>
          </w:p>
        </w:tc>
        <w:tc>
          <w:tcPr>
            <w:tcW w:w="2936"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Useful but more entertainment-led than the strongest anchors</w:t>
            </w:r>
          </w:p>
        </w:tc>
      </w:tr>
      <w:tr w:rsidR="00574372" w:rsidRPr="003769B9" w:rsidTr="007D528F">
        <w:tc>
          <w:tcPr>
            <w:tcW w:w="2002"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adidas - Runner 321</w:t>
            </w:r>
          </w:p>
        </w:tc>
        <w:tc>
          <w:tcPr>
            <w:tcW w:w="1367"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Inclusive accessibility</w:t>
            </w:r>
          </w:p>
        </w:tc>
        <w:tc>
          <w:tcPr>
            <w:tcW w:w="2551"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Replicates participation redesign for excluded groups</w:t>
            </w:r>
          </w:p>
        </w:tc>
        <w:tc>
          <w:tcPr>
            <w:tcW w:w="2936"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Supportive of accessibility theme but less design-system rich than anchor cases</w:t>
            </w:r>
          </w:p>
        </w:tc>
      </w:tr>
      <w:tr w:rsidR="00574372" w:rsidRPr="003769B9" w:rsidTr="007D528F">
        <w:tc>
          <w:tcPr>
            <w:tcW w:w="2002"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lastRenderedPageBreak/>
              <w:t>Decathlon - The Breakaway</w:t>
            </w:r>
          </w:p>
        </w:tc>
        <w:tc>
          <w:tcPr>
            <w:tcW w:w="1367"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Psychological safety</w:t>
            </w:r>
          </w:p>
        </w:tc>
        <w:tc>
          <w:tcPr>
            <w:tcW w:w="2551"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Shows stigma reduction and safer re-entry into participation</w:t>
            </w:r>
          </w:p>
        </w:tc>
        <w:tc>
          <w:tcPr>
            <w:tcW w:w="2936"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Good replication case but less direct cue visibility than AXA or Knock Knock</w:t>
            </w:r>
          </w:p>
        </w:tc>
      </w:tr>
      <w:tr w:rsidR="00574372" w:rsidRPr="003769B9" w:rsidTr="007D528F">
        <w:tc>
          <w:tcPr>
            <w:tcW w:w="2002"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VICE Media - The Unfiltered History Tour</w:t>
            </w:r>
          </w:p>
        </w:tc>
        <w:tc>
          <w:tcPr>
            <w:tcW w:w="1367"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Credibility signaling</w:t>
            </w:r>
          </w:p>
        </w:tc>
        <w:tc>
          <w:tcPr>
            <w:tcW w:w="2551"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Uses reframing and evidentiary narrative to challenge official history</w:t>
            </w:r>
          </w:p>
        </w:tc>
        <w:tc>
          <w:tcPr>
            <w:tcW w:w="2936"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Supports credibility theme without displacing platform-native anchors</w:t>
            </w:r>
          </w:p>
        </w:tc>
      </w:tr>
      <w:tr w:rsidR="00574372" w:rsidRPr="003769B9" w:rsidTr="007D528F">
        <w:tc>
          <w:tcPr>
            <w:tcW w:w="2002"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Suncorp - One House to Save Many</w:t>
            </w:r>
          </w:p>
        </w:tc>
        <w:tc>
          <w:tcPr>
            <w:tcW w:w="1367"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Uncertainty reduction</w:t>
            </w:r>
          </w:p>
        </w:tc>
        <w:tc>
          <w:tcPr>
            <w:tcW w:w="2551"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Makes climate-risk mitigation concrete and legible</w:t>
            </w:r>
          </w:p>
        </w:tc>
        <w:tc>
          <w:tcPr>
            <w:tcW w:w="2936"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More useful as reinforcement than as a centerpiece case</w:t>
            </w:r>
          </w:p>
        </w:tc>
      </w:tr>
      <w:tr w:rsidR="00574372" w:rsidRPr="003769B9" w:rsidTr="007D528F">
        <w:tc>
          <w:tcPr>
            <w:tcW w:w="2002"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Sheba - Hope Reef</w:t>
            </w:r>
          </w:p>
        </w:tc>
        <w:tc>
          <w:tcPr>
            <w:tcW w:w="1367"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Motivational reframing</w:t>
            </w:r>
          </w:p>
        </w:tc>
        <w:tc>
          <w:tcPr>
            <w:tcW w:w="2551"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Reframes environmental action through hope and visible progress</w:t>
            </w:r>
          </w:p>
        </w:tc>
        <w:tc>
          <w:tcPr>
            <w:tcW w:w="2936"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Strong case, but less tightly linked to the manuscript's core anchor set</w:t>
            </w:r>
          </w:p>
        </w:tc>
      </w:tr>
      <w:tr w:rsidR="00574372" w:rsidRPr="003769B9" w:rsidTr="007D528F">
        <w:tc>
          <w:tcPr>
            <w:tcW w:w="2002"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City of Chicago - Boards of Change</w:t>
            </w:r>
          </w:p>
        </w:tc>
        <w:tc>
          <w:tcPr>
            <w:tcW w:w="1367"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Motivational reframing</w:t>
            </w:r>
          </w:p>
        </w:tc>
        <w:tc>
          <w:tcPr>
            <w:tcW w:w="2551"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Converts protest barriers into civic participation cues</w:t>
            </w:r>
          </w:p>
        </w:tc>
        <w:tc>
          <w:tcPr>
            <w:tcW w:w="2936"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Supports civic-action reframing rather than the paper's strongest consumer anchors</w:t>
            </w:r>
          </w:p>
        </w:tc>
      </w:tr>
      <w:tr w:rsidR="00574372" w:rsidRPr="003769B9" w:rsidTr="007D528F">
        <w:tc>
          <w:tcPr>
            <w:tcW w:w="2002"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Michelob ULTRA Pure Gold - Contract for Change</w:t>
            </w:r>
          </w:p>
        </w:tc>
        <w:tc>
          <w:tcPr>
            <w:tcW w:w="1367"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Uncertainty reduction</w:t>
            </w:r>
          </w:p>
        </w:tc>
        <w:tc>
          <w:tcPr>
            <w:tcW w:w="2551"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Reduces transition risk through future demand guarantees</w:t>
            </w:r>
          </w:p>
        </w:tc>
        <w:tc>
          <w:tcPr>
            <w:tcW w:w="2936"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Helpful replication case with more B2B/systemic logic than the chosen anchors</w:t>
            </w:r>
          </w:p>
        </w:tc>
      </w:tr>
      <w:tr w:rsidR="00574372" w:rsidRPr="003769B9" w:rsidTr="007D528F">
        <w:tc>
          <w:tcPr>
            <w:tcW w:w="2002"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Carrefour - Act for Food</w:t>
            </w:r>
          </w:p>
        </w:tc>
        <w:tc>
          <w:tcPr>
            <w:tcW w:w="1367"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Uncertainty reduction</w:t>
            </w:r>
          </w:p>
        </w:tc>
        <w:tc>
          <w:tcPr>
            <w:tcW w:w="2551"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Clarifies healthier and more sustainable food choices</w:t>
            </w:r>
          </w:p>
        </w:tc>
        <w:tc>
          <w:tcPr>
            <w:tcW w:w="2936" w:type="dxa"/>
          </w:tcPr>
          <w:p w:rsidR="00574372" w:rsidRPr="003769B9" w:rsidRDefault="004B04A1" w:rsidP="007D528F">
            <w:pPr>
              <w:spacing w:before="240" w:line="360" w:lineRule="auto"/>
              <w:jc w:val="both"/>
              <w:rPr>
                <w:rFonts w:cs="Times New Roman"/>
                <w:sz w:val="20"/>
                <w:szCs w:val="20"/>
              </w:rPr>
            </w:pPr>
            <w:r w:rsidRPr="003769B9">
              <w:rPr>
                <w:rFonts w:cs="Times New Roman"/>
                <w:sz w:val="20"/>
                <w:szCs w:val="20"/>
              </w:rPr>
              <w:t>Broad platform case; retained as replication rather than full anchor</w:t>
            </w:r>
          </w:p>
        </w:tc>
      </w:tr>
    </w:tbl>
    <w:p w:rsidR="003769B9" w:rsidRPr="003769B9" w:rsidRDefault="003769B9" w:rsidP="003769B9">
      <w:pPr>
        <w:spacing w:line="240" w:lineRule="auto"/>
        <w:jc w:val="both"/>
        <w:rPr>
          <w:rFonts w:cs="Times New Roman"/>
          <w:szCs w:val="24"/>
        </w:rPr>
      </w:pPr>
    </w:p>
    <w:sectPr w:rsidR="003769B9" w:rsidRPr="003769B9"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EBA" w:rsidRDefault="00603EBA">
      <w:pPr>
        <w:spacing w:after="0" w:line="240" w:lineRule="auto"/>
      </w:pPr>
      <w:r>
        <w:separator/>
      </w:r>
    </w:p>
  </w:endnote>
  <w:endnote w:type="continuationSeparator" w:id="0">
    <w:p w:rsidR="00603EBA" w:rsidRDefault="00603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EBA" w:rsidRDefault="00603EBA">
      <w:pPr>
        <w:spacing w:after="0" w:line="240" w:lineRule="auto"/>
      </w:pPr>
      <w:r>
        <w:separator/>
      </w:r>
    </w:p>
  </w:footnote>
  <w:footnote w:type="continuationSeparator" w:id="0">
    <w:p w:rsidR="00603EBA" w:rsidRDefault="00603E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3769B9"/>
    <w:rsid w:val="004B04A1"/>
    <w:rsid w:val="00574372"/>
    <w:rsid w:val="00603EBA"/>
    <w:rsid w:val="007C14ED"/>
    <w:rsid w:val="007D528F"/>
    <w:rsid w:val="00AA1D8D"/>
    <w:rsid w:val="00B47730"/>
    <w:rsid w:val="00CB0664"/>
    <w:rsid w:val="00CF3E4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eastAsia="Times New Roman" w:hAnsi="Times New Roman"/>
      <w:sz w:val="24"/>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E618BF"/>
    <w:pPr>
      <w:tabs>
        <w:tab w:val="center" w:pos="4680"/>
        <w:tab w:val="right" w:pos="9360"/>
      </w:tabs>
      <w:spacing w:after="0" w:line="240" w:lineRule="auto"/>
    </w:pPr>
  </w:style>
  <w:style w:type="character" w:customStyle="1" w:styleId="stbilgiChar">
    <w:name w:val="Üstbilgi Char"/>
    <w:basedOn w:val="VarsaylanParagrafYazTipi"/>
    <w:link w:val="stbilgi"/>
    <w:qFormat/>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AltKonuBalChar">
    <w:name w:val="Alt Konu Başlığı Char"/>
    <w:basedOn w:val="VarsaylanParagrafYazTipi"/>
    <w:link w:val="AltKonuBal"/>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Trnak">
    <w:name w:val="Quote"/>
    <w:basedOn w:val="Normal"/>
    <w:next w:val="Normal"/>
    <w:link w:val="TrnakChar"/>
    <w:uiPriority w:val="29"/>
    <w:qFormat/>
    <w:rsid w:val="00FC693F"/>
    <w:rPr>
      <w:i/>
      <w:iCs/>
      <w:color w:val="000000" w:themeColor="text1"/>
    </w:rPr>
  </w:style>
  <w:style w:type="character" w:customStyle="1" w:styleId="TrnakChar">
    <w:name w:val="Tırnak Char"/>
    <w:basedOn w:val="VarsaylanParagrafYazTipi"/>
    <w:link w:val="Trnak"/>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KeskinTrnak">
    <w:name w:val="Intense Quote"/>
    <w:basedOn w:val="Normal"/>
    <w:next w:val="Normal"/>
    <w:link w:val="KeskinTrnak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eastAsia="Times New Roman" w:hAnsi="Times New Roman"/>
      <w:sz w:val="24"/>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E618BF"/>
    <w:pPr>
      <w:tabs>
        <w:tab w:val="center" w:pos="4680"/>
        <w:tab w:val="right" w:pos="9360"/>
      </w:tabs>
      <w:spacing w:after="0" w:line="240" w:lineRule="auto"/>
    </w:pPr>
  </w:style>
  <w:style w:type="character" w:customStyle="1" w:styleId="stbilgiChar">
    <w:name w:val="Üstbilgi Char"/>
    <w:basedOn w:val="VarsaylanParagrafYazTipi"/>
    <w:link w:val="stbilgi"/>
    <w:qFormat/>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AltKonuBalChar">
    <w:name w:val="Alt Konu Başlığı Char"/>
    <w:basedOn w:val="VarsaylanParagrafYazTipi"/>
    <w:link w:val="AltKonuBal"/>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Trnak">
    <w:name w:val="Quote"/>
    <w:basedOn w:val="Normal"/>
    <w:next w:val="Normal"/>
    <w:link w:val="TrnakChar"/>
    <w:uiPriority w:val="29"/>
    <w:qFormat/>
    <w:rsid w:val="00FC693F"/>
    <w:rPr>
      <w:i/>
      <w:iCs/>
      <w:color w:val="000000" w:themeColor="text1"/>
    </w:rPr>
  </w:style>
  <w:style w:type="character" w:customStyle="1" w:styleId="TrnakChar">
    <w:name w:val="Tırnak Char"/>
    <w:basedOn w:val="VarsaylanParagrafYazTipi"/>
    <w:link w:val="Trnak"/>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KeskinTrnak">
    <w:name w:val="Intense Quote"/>
    <w:basedOn w:val="Normal"/>
    <w:next w:val="Normal"/>
    <w:link w:val="KeskinTrnak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FA494-BC9A-4F40-8C4F-BA76792F3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1486</Words>
  <Characters>8475</Characters>
  <Application>Microsoft Office Word</Application>
  <DocSecurity>0</DocSecurity>
  <Lines>70</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Supplementary Appendix - Behavioral Message Design in Advertising: Insights from Cannes Lions</vt:lpstr>
      <vt:lpstr/>
    </vt:vector>
  </TitlesOfParts>
  <Company/>
  <LinksUpToDate>false</LinksUpToDate>
  <CharactersWithSpaces>9942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2026-03-08T10:06:00Z</dcterms:created>
  <dcterms:modified xsi:type="dcterms:W3CDTF">2026-03-08T10:06:00Z</dcterms:modified>
</cp:coreProperties>
</file>